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D7A2" w14:textId="6F3EAC8E" w:rsidR="002A088B" w:rsidRPr="005C0628" w:rsidRDefault="002A088B" w:rsidP="002A088B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>Grupo de Estudos da Retina (GER)</w:t>
      </w:r>
      <w:r w:rsidRPr="005C0628">
        <w:rPr>
          <w:rFonts w:ascii="Arial" w:eastAsia="Times New Roman" w:hAnsi="Arial" w:cs="Arial"/>
          <w:lang w:eastAsia="en-GB"/>
        </w:rPr>
        <w:br/>
      </w:r>
      <w:r w:rsidRPr="005C0628">
        <w:rPr>
          <w:rFonts w:ascii="Arial" w:eastAsia="Times New Roman" w:hAnsi="Arial" w:cs="Arial"/>
          <w:b/>
          <w:bCs/>
          <w:lang w:eastAsia="en-GB"/>
        </w:rPr>
        <w:t xml:space="preserve">Regulamento do Prémio de Melhor </w:t>
      </w:r>
      <w:r w:rsidR="005C0628" w:rsidRPr="005C0628">
        <w:rPr>
          <w:rFonts w:ascii="Arial" w:eastAsia="Times New Roman" w:hAnsi="Arial" w:cs="Arial"/>
          <w:b/>
          <w:bCs/>
          <w:lang w:eastAsia="en-GB"/>
        </w:rPr>
        <w:t>Artigo científico de investigação</w:t>
      </w:r>
      <w:r w:rsidR="005C0628" w:rsidRPr="005C0628">
        <w:rPr>
          <w:rFonts w:ascii="Arial" w:hAnsi="Arial" w:cs="Arial"/>
        </w:rPr>
        <w:t xml:space="preserve"> </w:t>
      </w:r>
      <w:r w:rsidRPr="005C0628">
        <w:rPr>
          <w:rFonts w:ascii="Arial" w:eastAsia="Times New Roman" w:hAnsi="Arial" w:cs="Arial"/>
          <w:b/>
          <w:bCs/>
          <w:lang w:eastAsia="en-GB"/>
        </w:rPr>
        <w:t xml:space="preserve">na </w:t>
      </w:r>
      <w:r w:rsidR="00C17784" w:rsidRPr="005C0628">
        <w:rPr>
          <w:rFonts w:ascii="Arial" w:eastAsia="Times New Roman" w:hAnsi="Arial" w:cs="Arial"/>
          <w:b/>
          <w:bCs/>
          <w:lang w:eastAsia="en-GB"/>
        </w:rPr>
        <w:t>10</w:t>
      </w:r>
      <w:r w:rsidRPr="005C0628">
        <w:rPr>
          <w:rFonts w:ascii="Arial" w:eastAsia="Times New Roman" w:hAnsi="Arial" w:cs="Arial"/>
          <w:b/>
          <w:bCs/>
          <w:lang w:eastAsia="en-GB"/>
        </w:rPr>
        <w:t>ª Reunião Científica do GER</w:t>
      </w:r>
    </w:p>
    <w:p w14:paraId="0E413ACB" w14:textId="77777777" w:rsidR="002A088B" w:rsidRPr="005C0628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>Artigo 1.º – Anúncio</w:t>
      </w:r>
    </w:p>
    <w:p w14:paraId="202E8352" w14:textId="099ACA72" w:rsidR="005C0628" w:rsidRPr="005C0628" w:rsidRDefault="002A088B" w:rsidP="002A088B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eastAsia="Times New Roman" w:hAnsi="Arial" w:cs="Arial"/>
          <w:lang w:eastAsia="en-GB"/>
        </w:rPr>
        <w:t>O Grupo de Estudos da Retina (GER) tem como um dos seus objetivos estratégicos a promoção e valorização da partilha de experiências clínicas e da discussão de casos desafiantes em retina. Anuncia-se a abertura do concurso de 202</w:t>
      </w:r>
      <w:r w:rsidR="00C17784" w:rsidRPr="005C0628">
        <w:rPr>
          <w:rFonts w:ascii="Arial" w:eastAsia="Times New Roman" w:hAnsi="Arial" w:cs="Arial"/>
          <w:lang w:eastAsia="en-GB"/>
        </w:rPr>
        <w:t>6</w:t>
      </w:r>
      <w:r w:rsidRPr="005C0628">
        <w:rPr>
          <w:rFonts w:ascii="Arial" w:eastAsia="Times New Roman" w:hAnsi="Arial" w:cs="Arial"/>
          <w:lang w:eastAsia="en-GB"/>
        </w:rPr>
        <w:t xml:space="preserve"> para atribuição do prémio </w:t>
      </w:r>
      <w:r w:rsidR="005C0628" w:rsidRPr="005C0628">
        <w:rPr>
          <w:rFonts w:ascii="Arial" w:hAnsi="Arial" w:cs="Arial"/>
        </w:rPr>
        <w:t>do prémio de melhor artigo científico de investigação clínica/translacional em retina</w:t>
      </w:r>
      <w:r w:rsidR="005C0628">
        <w:rPr>
          <w:rFonts w:ascii="Arial" w:hAnsi="Arial" w:cs="Arial"/>
        </w:rPr>
        <w:t xml:space="preserve"> GER/BAYER</w:t>
      </w:r>
      <w:r w:rsidR="005C0628" w:rsidRPr="005C0628">
        <w:rPr>
          <w:rFonts w:ascii="Arial" w:hAnsi="Arial" w:cs="Arial"/>
        </w:rPr>
        <w:t>, publicado por um autor português</w:t>
      </w:r>
    </w:p>
    <w:p w14:paraId="6B64EBB2" w14:textId="7D00BBB8" w:rsidR="002A088B" w:rsidRPr="005C0628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>Artigo 2.º – Critérios de Elegibilidade</w:t>
      </w:r>
    </w:p>
    <w:p w14:paraId="6E981B78" w14:textId="77777777" w:rsidR="005C0628" w:rsidRPr="005C0628" w:rsidRDefault="005C0628" w:rsidP="002A088B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 xml:space="preserve">1. Serão admitidos a concurso artigos já publicados, com data de publicação online no ano civil anterior ao ano do concurso, em que pelo menos o primeiro ou o último autor do artigo seja português e a lista de autores inclua, pelo menos, um membro do GER. </w:t>
      </w:r>
    </w:p>
    <w:p w14:paraId="5061DB73" w14:textId="77777777" w:rsidR="005C0628" w:rsidRPr="005C0628" w:rsidRDefault="005C0628" w:rsidP="002A088B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 xml:space="preserve">2. Serão admitidos artigos científicos com resultados originais, publicadas em revistas indexadas na Medline, Embase, </w:t>
      </w:r>
      <w:proofErr w:type="spellStart"/>
      <w:r w:rsidRPr="005C0628">
        <w:rPr>
          <w:rFonts w:ascii="Arial" w:hAnsi="Arial" w:cs="Arial"/>
        </w:rPr>
        <w:t>Scopus</w:t>
      </w:r>
      <w:proofErr w:type="spellEnd"/>
      <w:r w:rsidRPr="005C0628">
        <w:rPr>
          <w:rFonts w:ascii="Arial" w:hAnsi="Arial" w:cs="Arial"/>
        </w:rPr>
        <w:t xml:space="preserve"> ou Web </w:t>
      </w:r>
      <w:proofErr w:type="spellStart"/>
      <w:r w:rsidRPr="005C0628">
        <w:rPr>
          <w:rFonts w:ascii="Arial" w:hAnsi="Arial" w:cs="Arial"/>
        </w:rPr>
        <w:t>of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Science</w:t>
      </w:r>
      <w:proofErr w:type="spellEnd"/>
      <w:r w:rsidRPr="005C0628">
        <w:rPr>
          <w:rFonts w:ascii="Arial" w:hAnsi="Arial" w:cs="Arial"/>
        </w:rPr>
        <w:t xml:space="preserve"> Core </w:t>
      </w:r>
      <w:proofErr w:type="spellStart"/>
      <w:r w:rsidRPr="005C0628">
        <w:rPr>
          <w:rFonts w:ascii="Arial" w:hAnsi="Arial" w:cs="Arial"/>
        </w:rPr>
        <w:t>Collection</w:t>
      </w:r>
      <w:proofErr w:type="spellEnd"/>
      <w:r w:rsidRPr="005C0628">
        <w:rPr>
          <w:rFonts w:ascii="Arial" w:hAnsi="Arial" w:cs="Arial"/>
        </w:rPr>
        <w:t xml:space="preserve">. </w:t>
      </w:r>
    </w:p>
    <w:p w14:paraId="2FF88D70" w14:textId="77777777" w:rsidR="005C0628" w:rsidRPr="005C0628" w:rsidRDefault="005C0628" w:rsidP="002A088B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>3. Artigos que estejam aceites para publicação numa determinada revista científica, mas que ainda não estejam publicados em formato digital (“on-line” ou impressão) à data do concurso não serão aceites como candidatos.</w:t>
      </w:r>
    </w:p>
    <w:p w14:paraId="36A10DB1" w14:textId="77777777" w:rsidR="005C0628" w:rsidRPr="005C0628" w:rsidRDefault="005C0628" w:rsidP="002A088B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 xml:space="preserve"> 4. Não serão admitidos a concurso comentários, editoriais ou cartas.</w:t>
      </w:r>
    </w:p>
    <w:p w14:paraId="2C9ECC7F" w14:textId="6D56D11C" w:rsidR="002A088B" w:rsidRPr="005C0628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>Artigo 3.º – Candidatura</w:t>
      </w:r>
    </w:p>
    <w:p w14:paraId="1294700F" w14:textId="5719AFE4" w:rsidR="00C17784" w:rsidRPr="005C0628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 xml:space="preserve">A candidatura ao prémio será automática para todos os trabalhos aceites para </w:t>
      </w:r>
      <w:r w:rsidR="00EF1DF6">
        <w:rPr>
          <w:rFonts w:ascii="Arial" w:eastAsia="Times New Roman" w:hAnsi="Arial" w:cs="Arial"/>
          <w:lang w:eastAsia="en-GB"/>
        </w:rPr>
        <w:t>a</w:t>
      </w:r>
      <w:r w:rsidRPr="005C0628">
        <w:rPr>
          <w:rFonts w:ascii="Arial" w:eastAsia="Times New Roman" w:hAnsi="Arial" w:cs="Arial"/>
          <w:lang w:eastAsia="en-GB"/>
        </w:rPr>
        <w:t xml:space="preserve"> Reunião GER 2026.</w:t>
      </w:r>
    </w:p>
    <w:p w14:paraId="639B9E34" w14:textId="77777777" w:rsidR="00C17784" w:rsidRPr="005C0628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Cada email de envio de trabalho deve conter um único trabalho (ex: autor que submete dois trabalhos, deve submeter dois emails, um com cada trabalho).</w:t>
      </w:r>
    </w:p>
    <w:p w14:paraId="641117EA" w14:textId="3518ED0A" w:rsidR="00C17784" w:rsidRPr="005C0628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 xml:space="preserve">O trabalho submetido deve </w:t>
      </w:r>
      <w:r w:rsidR="00EF1DF6">
        <w:rPr>
          <w:rFonts w:ascii="Arial" w:eastAsia="Times New Roman" w:hAnsi="Arial" w:cs="Arial"/>
          <w:lang w:eastAsia="en-GB"/>
        </w:rPr>
        <w:t xml:space="preserve">conter o artigo </w:t>
      </w:r>
      <w:r w:rsidR="00773C0E">
        <w:rPr>
          <w:rFonts w:ascii="Arial" w:eastAsia="Times New Roman" w:hAnsi="Arial" w:cs="Arial"/>
          <w:lang w:eastAsia="en-GB"/>
        </w:rPr>
        <w:t xml:space="preserve">científico </w:t>
      </w:r>
      <w:r w:rsidR="00773C0E" w:rsidRPr="005C0628">
        <w:rPr>
          <w:rFonts w:ascii="Arial" w:eastAsia="Times New Roman" w:hAnsi="Arial" w:cs="Arial"/>
          <w:lang w:eastAsia="en-GB"/>
        </w:rPr>
        <w:t>em</w:t>
      </w:r>
      <w:r w:rsidRPr="005C0628">
        <w:rPr>
          <w:rFonts w:ascii="Arial" w:eastAsia="Times New Roman" w:hAnsi="Arial" w:cs="Arial"/>
          <w:lang w:eastAsia="en-GB"/>
        </w:rPr>
        <w:t xml:space="preserve"> formato PDF</w:t>
      </w:r>
      <w:r w:rsidR="00EF1DF6">
        <w:rPr>
          <w:rFonts w:ascii="Arial" w:eastAsia="Times New Roman" w:hAnsi="Arial" w:cs="Arial"/>
          <w:lang w:eastAsia="en-GB"/>
        </w:rPr>
        <w:t>.</w:t>
      </w:r>
    </w:p>
    <w:p w14:paraId="7ECF62D7" w14:textId="77777777" w:rsidR="00C17784" w:rsidRPr="005C0628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Os autores devem submeter os seus trabalhos para o email do GER (secretariado.ger@gmail.com) até à data-limite indicada no website do evento. Não serão aceites trabalhos submetidos posteriormente,</w:t>
      </w:r>
    </w:p>
    <w:p w14:paraId="750FD574" w14:textId="77777777" w:rsidR="00C17784" w:rsidRPr="005C0628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No momento da submissão, o autor deverá ainda indicar:</w:t>
      </w:r>
    </w:p>
    <w:p w14:paraId="5D7FD191" w14:textId="31C1B1A6" w:rsidR="005C0628" w:rsidRPr="005C0628" w:rsidRDefault="005C0628" w:rsidP="0045453D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 xml:space="preserve">Manifestação de intenção para candidatura ao prémio </w:t>
      </w:r>
    </w:p>
    <w:p w14:paraId="2E6C7437" w14:textId="33C1E8D2" w:rsidR="005C0628" w:rsidRPr="005C0628" w:rsidRDefault="005C0628" w:rsidP="0045453D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I</w:t>
      </w:r>
      <w:r w:rsidRPr="005C0628">
        <w:rPr>
          <w:rFonts w:ascii="Arial" w:hAnsi="Arial" w:cs="Arial"/>
        </w:rPr>
        <w:t>nformações: Nome do candidato, afiliação do candidato, telefone móvel de contacto</w:t>
      </w:r>
      <w:r w:rsidR="00EF1DF6">
        <w:rPr>
          <w:rFonts w:ascii="Arial" w:hAnsi="Arial" w:cs="Arial"/>
        </w:rPr>
        <w:t>,</w:t>
      </w:r>
      <w:r w:rsidRPr="005C0628">
        <w:rPr>
          <w:rFonts w:ascii="Arial" w:hAnsi="Arial" w:cs="Arial"/>
        </w:rPr>
        <w:t xml:space="preserve"> posição na lista de autores, nome da Revista, data de publicação do artigo</w:t>
      </w:r>
      <w:r w:rsidR="00EF1DF6">
        <w:rPr>
          <w:rFonts w:ascii="Arial" w:hAnsi="Arial" w:cs="Arial"/>
        </w:rPr>
        <w:t>,</w:t>
      </w:r>
      <w:r w:rsidRPr="005C0628">
        <w:rPr>
          <w:rFonts w:ascii="Arial" w:hAnsi="Arial" w:cs="Arial"/>
        </w:rPr>
        <w:t xml:space="preserve"> DOI (Digital </w:t>
      </w:r>
      <w:proofErr w:type="spellStart"/>
      <w:r w:rsidRPr="005C0628">
        <w:rPr>
          <w:rFonts w:ascii="Arial" w:hAnsi="Arial" w:cs="Arial"/>
        </w:rPr>
        <w:t>Object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Identifier</w:t>
      </w:r>
      <w:proofErr w:type="spellEnd"/>
      <w:r w:rsidRPr="005C0628">
        <w:rPr>
          <w:rFonts w:ascii="Arial" w:hAnsi="Arial" w:cs="Arial"/>
        </w:rPr>
        <w:t xml:space="preserve">) do artigo, Fator de Impacto (JIF - </w:t>
      </w:r>
      <w:proofErr w:type="spellStart"/>
      <w:r w:rsidRPr="005C0628">
        <w:rPr>
          <w:rFonts w:ascii="Arial" w:hAnsi="Arial" w:cs="Arial"/>
        </w:rPr>
        <w:t>Journal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Impact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Factor</w:t>
      </w:r>
      <w:proofErr w:type="spellEnd"/>
      <w:r w:rsidRPr="005C0628">
        <w:rPr>
          <w:rFonts w:ascii="Arial" w:hAnsi="Arial" w:cs="Arial"/>
        </w:rPr>
        <w:t>) Quartil da Revista (</w:t>
      </w:r>
      <w:proofErr w:type="spellStart"/>
      <w:r w:rsidRPr="005C0628">
        <w:rPr>
          <w:rFonts w:ascii="Arial" w:hAnsi="Arial" w:cs="Arial"/>
        </w:rPr>
        <w:t>Journal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Citation</w:t>
      </w:r>
      <w:proofErr w:type="spellEnd"/>
      <w:r w:rsidRPr="005C0628">
        <w:rPr>
          <w:rFonts w:ascii="Arial" w:hAnsi="Arial" w:cs="Arial"/>
        </w:rPr>
        <w:t xml:space="preserve"> Reports)</w:t>
      </w:r>
    </w:p>
    <w:p w14:paraId="24BA1113" w14:textId="051A496D" w:rsidR="005C0628" w:rsidRPr="0045453D" w:rsidRDefault="005C0628" w:rsidP="0045453D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hAnsi="Arial" w:cs="Arial"/>
        </w:rPr>
        <w:t>Anexar cópia do artigo em formato digital</w:t>
      </w:r>
    </w:p>
    <w:p w14:paraId="49B4D403" w14:textId="3BCE575F" w:rsidR="0045453D" w:rsidRPr="0045453D" w:rsidRDefault="0045453D" w:rsidP="0045453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24AE9313" w14:textId="77777777" w:rsidR="005C0628" w:rsidRPr="005C0628" w:rsidRDefault="005C0628" w:rsidP="005C0628">
      <w:pPr>
        <w:spacing w:before="100" w:beforeAutospacing="1" w:after="100" w:afterAutospacing="1"/>
        <w:ind w:left="360"/>
        <w:rPr>
          <w:rFonts w:ascii="Arial" w:eastAsia="Times New Roman" w:hAnsi="Arial" w:cs="Arial"/>
          <w:b/>
          <w:bCs/>
          <w:lang w:eastAsia="en-GB"/>
        </w:rPr>
      </w:pPr>
    </w:p>
    <w:p w14:paraId="308070F7" w14:textId="77777777" w:rsidR="005054BD" w:rsidRPr="005C0628" w:rsidRDefault="005054BD" w:rsidP="002A088B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</w:p>
    <w:p w14:paraId="3457D5D6" w14:textId="73F658C6" w:rsidR="002A088B" w:rsidRPr="005C0628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5C0628">
        <w:rPr>
          <w:rFonts w:ascii="Arial" w:eastAsia="Times New Roman" w:hAnsi="Arial" w:cs="Arial"/>
          <w:b/>
          <w:bCs/>
          <w:lang w:eastAsia="en-GB"/>
        </w:rPr>
        <w:t>4</w:t>
      </w:r>
      <w:r w:rsidRPr="005C0628">
        <w:rPr>
          <w:rFonts w:ascii="Arial" w:eastAsia="Times New Roman" w:hAnsi="Arial" w:cs="Arial"/>
          <w:b/>
          <w:bCs/>
          <w:lang w:eastAsia="en-GB"/>
        </w:rPr>
        <w:t>.º – Prémio</w:t>
      </w:r>
    </w:p>
    <w:p w14:paraId="3FCA74DF" w14:textId="1F66EDD1" w:rsidR="005C0628" w:rsidRPr="005C0628" w:rsidRDefault="005C0628" w:rsidP="002A088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hAnsi="Arial" w:cs="Arial"/>
        </w:rPr>
        <w:t xml:space="preserve">1. O vencedor ganhará acesso online ao Retina </w:t>
      </w:r>
      <w:proofErr w:type="spellStart"/>
      <w:r w:rsidRPr="005C0628">
        <w:rPr>
          <w:rFonts w:ascii="Arial" w:hAnsi="Arial" w:cs="Arial"/>
        </w:rPr>
        <w:t>Subspecialty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Day</w:t>
      </w:r>
      <w:proofErr w:type="spellEnd"/>
      <w:r w:rsidRPr="005C0628">
        <w:rPr>
          <w:rFonts w:ascii="Arial" w:hAnsi="Arial" w:cs="Arial"/>
        </w:rPr>
        <w:t xml:space="preserve"> da </w:t>
      </w:r>
      <w:proofErr w:type="spellStart"/>
      <w:r w:rsidRPr="005C0628">
        <w:rPr>
          <w:rFonts w:ascii="Arial" w:hAnsi="Arial" w:cs="Arial"/>
        </w:rPr>
        <w:t>American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Academy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of</w:t>
      </w:r>
      <w:proofErr w:type="spellEnd"/>
      <w:r w:rsidRPr="005C0628">
        <w:rPr>
          <w:rFonts w:ascii="Arial" w:hAnsi="Arial" w:cs="Arial"/>
        </w:rPr>
        <w:t xml:space="preserve"> Ophthalmology (AAO</w:t>
      </w:r>
      <w:r w:rsidR="00EF1DF6">
        <w:rPr>
          <w:rFonts w:ascii="Arial" w:hAnsi="Arial" w:cs="Arial"/>
        </w:rPr>
        <w:t xml:space="preserve"> 2026</w:t>
      </w:r>
      <w:r w:rsidRPr="005C0628">
        <w:rPr>
          <w:rFonts w:ascii="Arial" w:hAnsi="Arial" w:cs="Arial"/>
        </w:rPr>
        <w:t>)</w:t>
      </w:r>
    </w:p>
    <w:p w14:paraId="5F788745" w14:textId="584A91DB" w:rsidR="002A088B" w:rsidRPr="005C0628" w:rsidRDefault="002A088B" w:rsidP="002A088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O poster vencedor será anunciado na sessão de encerramento da 9ª Reunião Científica do GER 202</w:t>
      </w:r>
      <w:r w:rsidR="00C17784" w:rsidRPr="005C0628">
        <w:rPr>
          <w:rFonts w:ascii="Arial" w:eastAsia="Times New Roman" w:hAnsi="Arial" w:cs="Arial"/>
          <w:lang w:eastAsia="en-GB"/>
        </w:rPr>
        <w:t>6</w:t>
      </w:r>
      <w:r w:rsidRPr="005C0628">
        <w:rPr>
          <w:rFonts w:ascii="Arial" w:eastAsia="Times New Roman" w:hAnsi="Arial" w:cs="Arial"/>
          <w:lang w:eastAsia="en-GB"/>
        </w:rPr>
        <w:t>.</w:t>
      </w:r>
    </w:p>
    <w:p w14:paraId="2DEA5802" w14:textId="5F4D2E5D" w:rsidR="002A088B" w:rsidRPr="005C0628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5C0628">
        <w:rPr>
          <w:rFonts w:ascii="Arial" w:eastAsia="Times New Roman" w:hAnsi="Arial" w:cs="Arial"/>
          <w:b/>
          <w:bCs/>
          <w:lang w:eastAsia="en-GB"/>
        </w:rPr>
        <w:t>5</w:t>
      </w:r>
      <w:r w:rsidRPr="005C0628">
        <w:rPr>
          <w:rFonts w:ascii="Arial" w:eastAsia="Times New Roman" w:hAnsi="Arial" w:cs="Arial"/>
          <w:b/>
          <w:bCs/>
          <w:lang w:eastAsia="en-GB"/>
        </w:rPr>
        <w:t>.º – Júri</w:t>
      </w:r>
    </w:p>
    <w:p w14:paraId="7477BF9C" w14:textId="77777777" w:rsidR="00C17784" w:rsidRPr="005C0628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Os trabalhos submetidos serão avaliados por um júri designado pelo GER.</w:t>
      </w:r>
    </w:p>
    <w:p w14:paraId="30FECB5E" w14:textId="3F3A5AEC" w:rsidR="00C17784" w:rsidRPr="005C0628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 xml:space="preserve">O júri será composto por </w:t>
      </w:r>
      <w:r w:rsidR="00D814C1" w:rsidRPr="005C0628">
        <w:rPr>
          <w:rFonts w:ascii="Arial" w:eastAsia="Times New Roman" w:hAnsi="Arial" w:cs="Arial"/>
          <w:lang w:eastAsia="en-GB"/>
        </w:rPr>
        <w:t xml:space="preserve">cinco </w:t>
      </w:r>
      <w:r w:rsidRPr="005C0628">
        <w:rPr>
          <w:rFonts w:ascii="Arial" w:eastAsia="Times New Roman" w:hAnsi="Arial" w:cs="Arial"/>
          <w:lang w:eastAsia="en-GB"/>
        </w:rPr>
        <w:t>elementos, todos membros do GER, com reconhecido mérito científico.</w:t>
      </w:r>
    </w:p>
    <w:p w14:paraId="39CCAD31" w14:textId="77777777" w:rsidR="00C17784" w:rsidRPr="005C0628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O Presidente do júri terá voto de qualidade em caso de empate.</w:t>
      </w:r>
    </w:p>
    <w:p w14:paraId="7C1CF4AF" w14:textId="77777777" w:rsidR="00C17784" w:rsidRPr="005C0628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A composição do júri será divulgada na data de abertura da Reunião GER 2026.</w:t>
      </w:r>
    </w:p>
    <w:p w14:paraId="7DE3CD24" w14:textId="77777777" w:rsidR="00C17784" w:rsidRPr="005C0628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As decisões do júri serão soberanas e definitivas, não havendo lugar a recurso.</w:t>
      </w:r>
    </w:p>
    <w:p w14:paraId="2741C9C0" w14:textId="77777777" w:rsidR="00C17784" w:rsidRPr="005C0628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O júri pode decidir não atribuir alguns dos prémios previstos caso nenhum trabalho nessa(s) categoria(s) atinja os critérios mínimos de qualidade estabelecidos.</w:t>
      </w:r>
    </w:p>
    <w:p w14:paraId="21E5A557" w14:textId="77777777" w:rsidR="00C17784" w:rsidRPr="005C0628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eastAsia="Times New Roman" w:hAnsi="Arial" w:cs="Arial"/>
          <w:lang w:eastAsia="en-GB"/>
        </w:rPr>
        <w:t>Só poderá existir um vencedor em cada categoria, mas poderão existir menções honrosas.</w:t>
      </w:r>
    </w:p>
    <w:p w14:paraId="106F2EEA" w14:textId="120223BC" w:rsidR="002A088B" w:rsidRPr="002E3674" w:rsidRDefault="002A088B" w:rsidP="002E3674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E3674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5C0628" w:rsidRPr="002E3674">
        <w:rPr>
          <w:rFonts w:ascii="Arial" w:eastAsia="Times New Roman" w:hAnsi="Arial" w:cs="Arial"/>
          <w:b/>
          <w:bCs/>
          <w:lang w:eastAsia="en-GB"/>
        </w:rPr>
        <w:t>6</w:t>
      </w:r>
      <w:r w:rsidRPr="002E3674">
        <w:rPr>
          <w:rFonts w:ascii="Arial" w:eastAsia="Times New Roman" w:hAnsi="Arial" w:cs="Arial"/>
          <w:b/>
          <w:bCs/>
          <w:lang w:eastAsia="en-GB"/>
        </w:rPr>
        <w:t>.º – Critérios de Atribuição do Prémio</w:t>
      </w:r>
    </w:p>
    <w:p w14:paraId="329ECD36" w14:textId="77777777" w:rsidR="005C0628" w:rsidRPr="005C0628" w:rsidRDefault="005C0628" w:rsidP="005C0628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>1. O principal critério será o mérito científico do trabalho, nomeadamente o seu carácter inovador e potencial de influenciar a prática clínica a curto ou médio prazo.</w:t>
      </w:r>
    </w:p>
    <w:p w14:paraId="79CA7BBA" w14:textId="77777777" w:rsidR="005C0628" w:rsidRPr="005C0628" w:rsidRDefault="005C0628" w:rsidP="005C0628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 xml:space="preserve"> 2. Fator de impacto da revista onde o artigo foi publicado (JIF - </w:t>
      </w:r>
      <w:proofErr w:type="spellStart"/>
      <w:r w:rsidRPr="005C0628">
        <w:rPr>
          <w:rFonts w:ascii="Arial" w:hAnsi="Arial" w:cs="Arial"/>
        </w:rPr>
        <w:t>Journal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Impact</w:t>
      </w:r>
      <w:proofErr w:type="spellEnd"/>
      <w:r w:rsidRPr="005C0628">
        <w:rPr>
          <w:rFonts w:ascii="Arial" w:hAnsi="Arial" w:cs="Arial"/>
        </w:rPr>
        <w:t xml:space="preserve"> </w:t>
      </w:r>
      <w:proofErr w:type="spellStart"/>
      <w:r w:rsidRPr="005C0628">
        <w:rPr>
          <w:rFonts w:ascii="Arial" w:hAnsi="Arial" w:cs="Arial"/>
        </w:rPr>
        <w:t>Factor</w:t>
      </w:r>
      <w:proofErr w:type="spellEnd"/>
      <w:r w:rsidRPr="005C0628">
        <w:rPr>
          <w:rFonts w:ascii="Arial" w:hAnsi="Arial" w:cs="Arial"/>
        </w:rPr>
        <w:t xml:space="preserve">). </w:t>
      </w:r>
    </w:p>
    <w:p w14:paraId="6D0C467C" w14:textId="77777777" w:rsidR="005C0628" w:rsidRPr="005C0628" w:rsidRDefault="005C0628" w:rsidP="005C0628">
      <w:pPr>
        <w:spacing w:before="100" w:beforeAutospacing="1" w:after="100" w:afterAutospacing="1"/>
        <w:rPr>
          <w:rFonts w:ascii="Arial" w:hAnsi="Arial" w:cs="Arial"/>
        </w:rPr>
      </w:pPr>
      <w:r w:rsidRPr="005C0628">
        <w:rPr>
          <w:rFonts w:ascii="Arial" w:hAnsi="Arial" w:cs="Arial"/>
        </w:rPr>
        <w:t xml:space="preserve">3. Quartil da revista onde o artigo foi publicado. </w:t>
      </w:r>
    </w:p>
    <w:p w14:paraId="2FB82937" w14:textId="67F9966A" w:rsidR="002A088B" w:rsidRPr="005C0628" w:rsidRDefault="005C0628" w:rsidP="005C0628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C0628">
        <w:rPr>
          <w:rFonts w:ascii="Arial" w:hAnsi="Arial" w:cs="Arial"/>
        </w:rPr>
        <w:t>4. Serão valorizados artigos que sejam tradutores de articulações entre instituições</w:t>
      </w:r>
      <w:r w:rsidR="002A088B" w:rsidRPr="005C0628">
        <w:rPr>
          <w:rFonts w:ascii="Arial" w:eastAsia="Times New Roman" w:hAnsi="Arial" w:cs="Arial"/>
          <w:lang w:eastAsia="en-GB"/>
        </w:rPr>
        <w:t>.</w:t>
      </w:r>
    </w:p>
    <w:p w14:paraId="782B73ED" w14:textId="77777777" w:rsidR="00372E8B" w:rsidRPr="005C0628" w:rsidRDefault="00372E8B">
      <w:pPr>
        <w:rPr>
          <w:rFonts w:ascii="Arial" w:hAnsi="Arial" w:cs="Arial"/>
        </w:rPr>
      </w:pPr>
    </w:p>
    <w:sectPr w:rsidR="00372E8B" w:rsidRPr="005C0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0C5"/>
    <w:multiLevelType w:val="multilevel"/>
    <w:tmpl w:val="292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F46D4"/>
    <w:multiLevelType w:val="multilevel"/>
    <w:tmpl w:val="15F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A4EE5"/>
    <w:multiLevelType w:val="multilevel"/>
    <w:tmpl w:val="C0BA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934D9"/>
    <w:multiLevelType w:val="multilevel"/>
    <w:tmpl w:val="2C62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F7225"/>
    <w:multiLevelType w:val="multilevel"/>
    <w:tmpl w:val="8D8E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A5765"/>
    <w:multiLevelType w:val="multilevel"/>
    <w:tmpl w:val="0BEE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4385C"/>
    <w:multiLevelType w:val="multilevel"/>
    <w:tmpl w:val="AE6A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E5A88"/>
    <w:multiLevelType w:val="hybridMultilevel"/>
    <w:tmpl w:val="D5128B74"/>
    <w:lvl w:ilvl="0" w:tplc="93BC0F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93507"/>
    <w:multiLevelType w:val="multilevel"/>
    <w:tmpl w:val="2C1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BB02F1"/>
    <w:multiLevelType w:val="multilevel"/>
    <w:tmpl w:val="32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510C2"/>
    <w:multiLevelType w:val="multilevel"/>
    <w:tmpl w:val="20A4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37408F"/>
    <w:multiLevelType w:val="hybridMultilevel"/>
    <w:tmpl w:val="EE3E85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5D685B"/>
    <w:multiLevelType w:val="multilevel"/>
    <w:tmpl w:val="881C32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D60F56"/>
    <w:multiLevelType w:val="multilevel"/>
    <w:tmpl w:val="2C16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977950">
    <w:abstractNumId w:val="3"/>
  </w:num>
  <w:num w:numId="2" w16cid:durableId="890921446">
    <w:abstractNumId w:val="5"/>
  </w:num>
  <w:num w:numId="3" w16cid:durableId="280958396">
    <w:abstractNumId w:val="13"/>
  </w:num>
  <w:num w:numId="4" w16cid:durableId="2142721803">
    <w:abstractNumId w:val="6"/>
  </w:num>
  <w:num w:numId="5" w16cid:durableId="1260333840">
    <w:abstractNumId w:val="0"/>
  </w:num>
  <w:num w:numId="6" w16cid:durableId="1897544352">
    <w:abstractNumId w:val="2"/>
  </w:num>
  <w:num w:numId="7" w16cid:durableId="1677921649">
    <w:abstractNumId w:val="12"/>
  </w:num>
  <w:num w:numId="8" w16cid:durableId="197283003">
    <w:abstractNumId w:val="4"/>
  </w:num>
  <w:num w:numId="9" w16cid:durableId="714503734">
    <w:abstractNumId w:val="1"/>
  </w:num>
  <w:num w:numId="10" w16cid:durableId="1546059974">
    <w:abstractNumId w:val="8"/>
  </w:num>
  <w:num w:numId="11" w16cid:durableId="1793206734">
    <w:abstractNumId w:val="10"/>
  </w:num>
  <w:num w:numId="12" w16cid:durableId="1639604602">
    <w:abstractNumId w:val="9"/>
  </w:num>
  <w:num w:numId="13" w16cid:durableId="983851862">
    <w:abstractNumId w:val="9"/>
  </w:num>
  <w:num w:numId="14" w16cid:durableId="46898314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9666234">
    <w:abstractNumId w:val="7"/>
  </w:num>
  <w:num w:numId="16" w16cid:durableId="2142334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8B"/>
    <w:rsid w:val="002A088B"/>
    <w:rsid w:val="002B3CA5"/>
    <w:rsid w:val="002E0962"/>
    <w:rsid w:val="002E2D91"/>
    <w:rsid w:val="002E3674"/>
    <w:rsid w:val="00372E8B"/>
    <w:rsid w:val="00384C43"/>
    <w:rsid w:val="003C3979"/>
    <w:rsid w:val="0045453D"/>
    <w:rsid w:val="005054BD"/>
    <w:rsid w:val="005C0628"/>
    <w:rsid w:val="005F53B6"/>
    <w:rsid w:val="006D464E"/>
    <w:rsid w:val="00773C0E"/>
    <w:rsid w:val="007C4538"/>
    <w:rsid w:val="0099629C"/>
    <w:rsid w:val="00A16698"/>
    <w:rsid w:val="00B046D3"/>
    <w:rsid w:val="00C073D0"/>
    <w:rsid w:val="00C17784"/>
    <w:rsid w:val="00C72026"/>
    <w:rsid w:val="00D814C1"/>
    <w:rsid w:val="00DD0FEA"/>
    <w:rsid w:val="00DD1FAC"/>
    <w:rsid w:val="00E72564"/>
    <w:rsid w:val="00E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77A83"/>
  <w15:chartTrackingRefBased/>
  <w15:docId w15:val="{F6FD3101-6B06-1C48-B98A-D3F399D4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0962"/>
    <w:pPr>
      <w:outlineLvl w:val="0"/>
    </w:pPr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62"/>
    <w:pPr>
      <w:keepNext/>
      <w:keepLines/>
      <w:spacing w:before="280" w:after="80"/>
      <w:outlineLvl w:val="2"/>
    </w:pPr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962"/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62"/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A08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A088B"/>
    <w:rPr>
      <w:b/>
      <w:bCs/>
    </w:rPr>
  </w:style>
  <w:style w:type="paragraph" w:styleId="ListParagraph">
    <w:name w:val="List Paragraph"/>
    <w:basedOn w:val="Normal"/>
    <w:uiPriority w:val="34"/>
    <w:qFormat/>
    <w:rsid w:val="005054BD"/>
    <w:pPr>
      <w:ind w:left="720"/>
      <w:contextualSpacing/>
    </w:pPr>
  </w:style>
  <w:style w:type="paragraph" w:styleId="Revision">
    <w:name w:val="Revision"/>
    <w:hidden/>
    <w:uiPriority w:val="99"/>
    <w:semiHidden/>
    <w:rsid w:val="00D814C1"/>
  </w:style>
  <w:style w:type="character" w:styleId="CommentReference">
    <w:name w:val="annotation reference"/>
    <w:basedOn w:val="DefaultParagraphFont"/>
    <w:uiPriority w:val="99"/>
    <w:semiHidden/>
    <w:unhideWhenUsed/>
    <w:rsid w:val="00D81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9C77-994E-4BA1-834E-9E0C842E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Cardoso Leal</dc:creator>
  <cp:keywords/>
  <dc:description/>
  <cp:lastModifiedBy>Inês Cardoso Leal</cp:lastModifiedBy>
  <cp:revision>5</cp:revision>
  <dcterms:created xsi:type="dcterms:W3CDTF">2026-01-13T21:50:00Z</dcterms:created>
  <dcterms:modified xsi:type="dcterms:W3CDTF">2026-01-14T21:27:00Z</dcterms:modified>
</cp:coreProperties>
</file>